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Methodology Report</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This project documents the digitisation of the Pool-Castellanos Archive, a privately held collection of musical manuscripts, printed scores, librettos, and related materials dated between 1778 and 1919. The archive offers a rare window into musical production, circulation, and taste in Mexico across the eighteenth, nineteenth, and early twentieth centuries. The methodology described below outlines the physical conditions, selection criteria, technical workflow, metadata procedures, preservation strategies, and challenges encountered during the project.</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Physical Archive and Conservation Conditions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The archive is housed in a private residence, stored on open shelving in a clean, ventilated room. Although the materials have been handled with notable care over the years, they were not previously catalogued or placed in protective enclosures such as acid-free boxes or sleeves. Volumes were kept either upright or horizontally stacked depending on size and fragility.</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Prior to digitisation, all handling followed conservation-aware practices: gloves were used consistently; handwritten notes were kept separate from the materials and taken only in pencil; and all ink-based tools were excluded from the work area. The owner</w:t>
      </w:r>
      <w:r>
        <w:rPr>
          <w:rFonts w:ascii="Times Roman" w:hAnsi="Times Roman" w:hint="default"/>
          <w:rtl w:val="1"/>
        </w:rPr>
        <w:t>’</w:t>
      </w:r>
      <w:r>
        <w:rPr>
          <w:rFonts w:ascii="Times Roman" w:hAnsi="Times Roman"/>
          <w:rtl w:val="0"/>
          <w:lang w:val="en-US"/>
        </w:rPr>
        <w:t>s participation throughout the process fostered an increased awareness of preservation needs, encouraging plans for improved long-term storage.</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fr-FR"/>
        </w:rPr>
        <w:t>Selection Criteria</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While the archive contains photographs, literary documents, and various ephemera, the digitisation project focused specifically on materials related to music, opera, zarzuela, and theatre. This emphasis reflects both the historical value and the vulnerability of musical sources</w:t>
      </w:r>
      <w:r>
        <w:rPr>
          <w:rFonts w:ascii="Times Roman" w:hAnsi="Times Roman" w:hint="default"/>
          <w:rtl w:val="0"/>
          <w:lang w:val="en-US"/>
        </w:rPr>
        <w:t>—</w:t>
      </w:r>
      <w:r>
        <w:rPr>
          <w:rFonts w:ascii="Times Roman" w:hAnsi="Times Roman"/>
          <w:rtl w:val="0"/>
          <w:lang w:val="en-US"/>
        </w:rPr>
        <w:t>particularly manuscripts, partbooks, fragile printed fascicles, and large orchestral volumes.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The collection</w:t>
      </w:r>
      <w:r>
        <w:rPr>
          <w:rFonts w:ascii="Times Roman" w:hAnsi="Times Roman" w:hint="default"/>
          <w:rtl w:val="1"/>
        </w:rPr>
        <w:t>’</w:t>
      </w:r>
      <w:r>
        <w:rPr>
          <w:rFonts w:ascii="Times Roman" w:hAnsi="Times Roman"/>
          <w:rtl w:val="0"/>
          <w:lang w:val="en-US"/>
        </w:rPr>
        <w:t>s provenance illustrates typical pathways of musical material in Mexico: purchases from bookstalls, flea markets, and estate sales, where unique items are easily dispersed or damaged. The resulting corpus reveals the evolution of Mexican music printing, the aesthetic trends of the eighteenth and nineteenth centuries, and the expanding networks that linked Mexican composers and publishers with international counterparts. Materials include sacred music, dance forms such as waltzes and polkas, operatic transcriptions for piano, vocal works, pedagogical methods, and a rich assortment of illustrated covers that reflect changing graphic art styles. The digitised selection thus provides valuable sources for musicologists, performers, historians, and cultural-heritage researchers.</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Technical Equipment and Standards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Digitisation was conducted using a Canon EOS M50 Mark II with an EF-M 15</w:t>
      </w:r>
      <w:r>
        <w:rPr>
          <w:rFonts w:ascii="Times Roman" w:hAnsi="Times Roman" w:hint="default"/>
          <w:rtl w:val="0"/>
        </w:rPr>
        <w:t>–</w:t>
      </w:r>
      <w:r>
        <w:rPr>
          <w:rFonts w:ascii="Times Roman" w:hAnsi="Times Roman"/>
          <w:rtl w:val="0"/>
          <w:lang w:val="en-US"/>
        </w:rPr>
        <w:t>45 mm lens. For detailed decorative covers, a Canon RF 35 mm F1.8 Macro IS STM lens was employed. A UV filter and wireless remote control improved clarity and stability. Lighting prioritised natural daylight, supplemented as needed by adjustable LED lamps with flexible arms. Each first image in a sequence included a colour calibration card to ensure consistent balance in post-processing.</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The equipment was chosen after evaluating cost, availability, and performance within the Mexican market. Additional purchases included extra SD cards, batteries, a remote trigger, and stationery and archival tools required for safe handling.</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rPr>
        <w:t>Digitisation Process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The workspace was arranged with a black, acid-free paper surface and a sturdy tripod fitted with a horizontal extension arm, positioning the camera directly over the material. Because the camera</w:t>
      </w:r>
      <w:r>
        <w:rPr>
          <w:rFonts w:ascii="Times Roman" w:hAnsi="Times Roman" w:hint="default"/>
          <w:rtl w:val="1"/>
        </w:rPr>
        <w:t>’</w:t>
      </w:r>
      <w:r>
        <w:rPr>
          <w:rFonts w:ascii="Times Roman" w:hAnsi="Times Roman"/>
          <w:rtl w:val="0"/>
          <w:lang w:val="en-US"/>
        </w:rPr>
        <w:t>s weight created balance issues, counterweights and cords were used to stabilise the setup. The wireless shutter control minimised vibration and prevented accidental shifts in framing.</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Materials were grouped by format</w:t>
      </w:r>
      <w:r>
        <w:rPr>
          <w:rFonts w:ascii="Times Roman" w:hAnsi="Times Roman" w:hint="default"/>
          <w:rtl w:val="0"/>
          <w:lang w:val="en-US"/>
        </w:rPr>
        <w:t>—</w:t>
      </w:r>
      <w:r>
        <w:rPr>
          <w:rFonts w:ascii="Times Roman" w:hAnsi="Times Roman"/>
          <w:rtl w:val="0"/>
          <w:lang w:val="en-US"/>
        </w:rPr>
        <w:t>small books, oblong scores, loose sheets, folios</w:t>
      </w:r>
      <w:r>
        <w:rPr>
          <w:rFonts w:ascii="Times Roman" w:hAnsi="Times Roman" w:hint="default"/>
          <w:rtl w:val="0"/>
          <w:lang w:val="en-US"/>
        </w:rPr>
        <w:t>—</w:t>
      </w:r>
      <w:r>
        <w:rPr>
          <w:rFonts w:ascii="Times Roman" w:hAnsi="Times Roman"/>
          <w:rtl w:val="0"/>
          <w:lang w:val="en-US"/>
        </w:rPr>
        <w:t>so that each session could maintain consistent lighting and camera positioning. Before photographing, several test shots were taken to ensure proper alignment, margins, and colour balance. Fragile or rigid volumes that resisted opening were handled by two assistants when needed. Transparent plastic rods (agitators) were used to gently hold pages open without obscuring the content.</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All images were recorded simultaneously in RAW and JPG. After every session, files were immediately backed up to two external hard drives. JPGs enabled rapid organisation and comparison, while RAW files preserved full quality for processing.</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A strict rule governed the sessions: no item was divided across multiple days. This ensured consistent lighting and prevented discrepancies in image quality, particularly important for long orchestral volumes or multi-part sets.</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Metadata Workflow</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Data recording began with a session log: title, author, material type, number of images, languages, and any conservation notes. Based on this information, folders were created for each work, containing the RAW files and a subfolder for JPGs. Interim filenames followed the pattern REV_Title_Author_### to facilitate consistency checks.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Metadata was then entered into the spreadsheet supplied by the Endangered Archives Programme, including descriptive fields, physical condition, pagination, and language information (Spanish, French, Latin, Italian, and English). Translations of titles were verified through linguistic research and comparison with existing catalogues.</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Image processing took place in Capture One, where exposure, contrast, and orientation were standardised. Files were exported in TIFF format following the EAP naming convention: EAP_Pool_</w:t>
      </w:r>
      <w:r>
        <w:rPr>
          <w:rStyle w:val="Ninguno"/>
          <w:rFonts w:ascii="Times Roman" w:hAnsi="Times Roman"/>
          <w:i w:val="1"/>
          <w:iCs w:val="1"/>
          <w:rtl w:val="0"/>
          <w:lang w:val="en-US"/>
        </w:rPr>
        <w:t>[Author]</w:t>
      </w:r>
      <w:r>
        <w:rPr>
          <w:rStyle w:val="Ninguno"/>
          <w:rFonts w:ascii="Times Roman" w:hAnsi="Times Roman"/>
          <w:i w:val="1"/>
          <w:iCs w:val="1"/>
          <w:rtl w:val="0"/>
          <w:lang w:val="es-ES_tradnl"/>
        </w:rPr>
        <w:t>_</w:t>
      </w:r>
      <w:r>
        <w:rPr>
          <w:rFonts w:ascii="Times Roman" w:hAnsi="Times Roman"/>
          <w:rtl w:val="0"/>
          <w:lang w:val="en-US"/>
        </w:rPr>
        <w:t>[Work]_[Three-digit sequence]. Sample images and spreadsheets were reviewed before generating the full TIFF set.</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Digital Preservation and Delivery</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 xml:space="preserve">Digital preservation followed a multi-location strategy. Three external hard drives were maintained: one with RAW, JPG, and TIFF files held by the archive owner; one identical copy kept by </w:t>
      </w:r>
      <w:r>
        <w:rPr>
          <w:rFonts w:ascii="Times Roman" w:hAnsi="Times Roman" w:hint="default"/>
          <w:rtl w:val="0"/>
        </w:rPr>
        <w:t>Ó</w:t>
      </w:r>
      <w:r>
        <w:rPr>
          <w:rFonts w:ascii="Times Roman" w:hAnsi="Times Roman"/>
          <w:rtl w:val="0"/>
          <w:lang w:val="en-US"/>
        </w:rPr>
        <w:t>pera en Movimiento; and a third containing only TIFF files designated for EAP delivery. In addition, a full TIFF backup was uploaded to OneDrive cloud storage.</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 xml:space="preserve">Multiple rounds of verification ensured that the number of images matched the spreadsheet records and that the sequence and naming were complete. The final dataset comprises 2121 images grouped into 161 items, </w:t>
      </w:r>
      <w:r>
        <w:rPr>
          <w:rFonts w:ascii="Times Roman" w:hAnsi="Times Roman"/>
          <w:rtl w:val="0"/>
          <w:lang w:val="es-ES_tradnl"/>
        </w:rPr>
        <w:t>totaling</w:t>
      </w:r>
      <w:r>
        <w:rPr>
          <w:rFonts w:ascii="Times Roman" w:hAnsi="Times Roman"/>
          <w:rtl w:val="0"/>
          <w:lang w:val="en-US"/>
        </w:rPr>
        <w:t xml:space="preserve"> approximately 30 GB of material.</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The project also opened pathways for future collaborations and digitisation initiatives, including contact with the Jorge Mart</w:t>
      </w:r>
      <w:r>
        <w:rPr>
          <w:rFonts w:ascii="Times Roman" w:hAnsi="Times Roman" w:hint="default"/>
          <w:rtl w:val="0"/>
        </w:rPr>
        <w:t>í</w:t>
      </w:r>
      <w:r>
        <w:rPr>
          <w:rFonts w:ascii="Times Roman" w:hAnsi="Times Roman"/>
          <w:rtl w:val="0"/>
          <w:lang w:val="en-US"/>
        </w:rPr>
        <w:t>n Valencia Rosas collection, one of the most significant private repositories of Mexican music manuscripts and historical instruments.</w:t>
      </w:r>
    </w:p>
    <w:p>
      <w:pPr>
        <w:pStyle w:val="Predeterminado"/>
        <w:suppressAutoHyphens w:val="1"/>
        <w:spacing w:before="0" w:after="240" w:line="240" w:lineRule="auto"/>
        <w:jc w:val="both"/>
        <w:rPr>
          <w:rStyle w:val="Ninguno"/>
          <w:rFonts w:ascii="Times Roman" w:cs="Times Roman" w:hAnsi="Times Roman" w:eastAsia="Times Roman"/>
          <w:b w:val="0"/>
          <w:bCs w:val="0"/>
        </w:rPr>
      </w:pPr>
      <w:r>
        <w:rPr>
          <w:rFonts w:ascii="Times Roman" w:hAnsi="Times Roman"/>
          <w:b w:val="1"/>
          <w:bCs w:val="1"/>
          <w:rtl w:val="0"/>
          <w:lang w:val="en-US"/>
        </w:rPr>
        <w:t>Challenges and Mitigation</w:t>
      </w:r>
    </w:p>
    <w:p>
      <w:pPr>
        <w:pStyle w:val="Predeterminado"/>
        <w:suppressAutoHyphens w:val="1"/>
        <w:spacing w:before="0" w:after="240" w:line="240" w:lineRule="auto"/>
        <w:jc w:val="both"/>
        <w:rPr>
          <w:rFonts w:ascii="Times Roman" w:cs="Times Roman" w:hAnsi="Times Roman" w:eastAsia="Times Roman"/>
        </w:rPr>
      </w:pPr>
      <w:r>
        <w:rPr>
          <w:rFonts w:ascii="Times Roman" w:hAnsi="Times Roman"/>
          <w:rtl w:val="0"/>
          <w:lang w:val="en-US"/>
        </w:rPr>
        <w:t>Environmental light variability required careful arrangement of windows and lamps. Fragile bindings, large volumes, and oblong formats demanded flexible handling strategies, often involving two people and the use of transparent rods. The heaviness of the camera on the horizontal extension arm introduced stability problems, solved through counterweights and cord supports. Linguistic expertise proved essential for accurate metadata in multiple languages and for identifying the structure of sacred musical works.</w:t>
      </w:r>
    </w:p>
    <w:p>
      <w:pPr>
        <w:pStyle w:val="Predeterminado"/>
        <w:suppressAutoHyphens w:val="1"/>
        <w:spacing w:before="0" w:after="240" w:line="240" w:lineRule="auto"/>
        <w:jc w:val="both"/>
      </w:pPr>
      <w:r>
        <w:rPr>
          <w:rFonts w:ascii="Times Roman" w:hAnsi="Times Roman"/>
          <w:rtl w:val="0"/>
          <w:lang w:val="en-US"/>
        </w:rPr>
        <w:t>Through these strategies, the project ensured both the safety of the materials and the production of a high-quality digital archive.</w:t>
      </w:r>
    </w:p>
    <w:sectPr>
      <w:headerReference w:type="default" r:id="rId4"/>
      <w:footerReference w:type="default" r:id="rId5"/>
      <w:pgSz w:w="11900" w:h="16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